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(преддипломной)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66BB0">
        <w:rPr>
          <w:rFonts w:ascii="Times New Roman" w:hAnsi="Times New Roman" w:cs="Times New Roman"/>
          <w:b/>
          <w:noProof/>
          <w:sz w:val="28"/>
          <w:szCs w:val="28"/>
        </w:rPr>
        <w:t>21.02.08</w:t>
      </w:r>
      <w:r w:rsidR="009B3B9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66BB0">
        <w:rPr>
          <w:rFonts w:ascii="Times New Roman" w:hAnsi="Times New Roman" w:cs="Times New Roman"/>
          <w:b/>
          <w:noProof/>
          <w:sz w:val="28"/>
          <w:szCs w:val="28"/>
        </w:rPr>
        <w:t>Прикладная геодезия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9B3B90">
        <w:rPr>
          <w:rFonts w:ascii="Times New Roman" w:hAnsi="Times New Roman"/>
          <w:noProof/>
        </w:rPr>
        <w:t xml:space="preserve"> </w:t>
      </w:r>
      <w:r w:rsidR="00466BB0">
        <w:rPr>
          <w:rFonts w:ascii="Times New Roman" w:hAnsi="Times New Roman"/>
          <w:noProof/>
        </w:rPr>
        <w:t>ПГ</w:t>
      </w:r>
      <w:r w:rsidR="009B3B9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11-3</w:t>
      </w:r>
      <w:r w:rsidR="00466BB0">
        <w:rPr>
          <w:rFonts w:ascii="Times New Roman" w:hAnsi="Times New Roman"/>
          <w:noProof/>
        </w:rPr>
        <w:t>5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314E6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auto"/>
        </w:rPr>
      </w:pP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 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Олег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2A466A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Руководитель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B83825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325789" wp14:editId="2D54FB09">
            <wp:simplePos x="0" y="0"/>
            <wp:positionH relativeFrom="column">
              <wp:posOffset>3377565</wp:posOffset>
            </wp:positionH>
            <wp:positionV relativeFrom="paragraph">
              <wp:posOffset>189230</wp:posOffset>
            </wp:positionV>
            <wp:extent cx="847725" cy="714375"/>
            <wp:effectExtent l="0" t="0" r="9525" b="9525"/>
            <wp:wrapSquare wrapText="bothSides"/>
            <wp:docPr id="2" name="Рисунок 2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54" r="71466" b="6977"/>
                    <a:stretch/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  <w:r w:rsidR="009B3B9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903AA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313100" w:rsidRPr="002A466A" w:rsidRDefault="009B3B90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903AA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6903AA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6903AA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03AA" w:rsidRPr="002A466A">
        <w:rPr>
          <w:rFonts w:ascii="Times New Roman" w:hAnsi="Times New Roman" w:cs="Times New Roman"/>
          <w:b/>
        </w:rPr>
        <w:t>подпись</w:t>
      </w:r>
    </w:p>
    <w:p w:rsidR="00313100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B83825" w:rsidRPr="002A466A" w:rsidRDefault="00B83825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 w:rsidR="009B3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06893" w:rsidRPr="002A466A">
        <w:rPr>
          <w:rFonts w:ascii="Times New Roman" w:hAnsi="Times New Roman" w:cs="Times New Roman"/>
        </w:rPr>
        <w:t>уководителя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="00106893"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="009B3B90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9B3B90" w:rsidP="00B83825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6893" w:rsidRPr="002A466A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="00B83825" w:rsidRPr="00B83825">
        <w:rPr>
          <w:rFonts w:ascii="Times New Roman" w:hAnsi="Times New Roman" w:cs="Times New Roman"/>
          <w:sz w:val="28"/>
          <w:u w:val="single"/>
        </w:rPr>
        <w:t>Отлично</w:t>
      </w:r>
      <w:r w:rsidR="00B83825">
        <w:rPr>
          <w:rFonts w:ascii="Times New Roman" w:hAnsi="Times New Roman" w:cs="Times New Roman"/>
          <w:b/>
        </w:rPr>
        <w:t>_______________________</w:t>
      </w:r>
      <w:r w:rsidR="00106893" w:rsidRPr="002A466A">
        <w:rPr>
          <w:rFonts w:ascii="Times New Roman" w:hAnsi="Times New Roman" w:cs="Times New Roman"/>
          <w:b/>
        </w:rPr>
        <w:t>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хорошо,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66BB0">
        <w:rPr>
          <w:rFonts w:ascii="Times New Roman" w:hAnsi="Times New Roman" w:cs="Times New Roman"/>
          <w:noProof/>
          <w:color w:val="auto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Pr="008A6930">
        <w:rPr>
          <w:rStyle w:val="af3"/>
          <w:rFonts w:ascii="Times New Roman" w:hAnsi="Times New Roman"/>
          <w:b w:val="0"/>
        </w:rPr>
        <w:t>ЗАДА</w:t>
      </w:r>
      <w:r w:rsidR="008A6930">
        <w:rPr>
          <w:rStyle w:val="af3"/>
          <w:rFonts w:ascii="Times New Roman" w:hAnsi="Times New Roman"/>
          <w:b w:val="0"/>
        </w:rPr>
        <w:t>НИЕ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ПО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ПРОИЗВОДСТВЕННОЙ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>по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в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форме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практической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Обучающийся: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Олег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Иванович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ПГ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11-35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специальность: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21.02.08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Прикладная геодезия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(на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базе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общего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проведения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Общество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ограниченной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ответственностью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компаний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г.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17.04.2023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13.05.2023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466BB0" w:rsidRDefault="008A5FCC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</w:t>
      </w:r>
      <w:r w:rsidR="008A6930">
        <w:rPr>
          <w:sz w:val="22"/>
          <w:szCs w:val="22"/>
        </w:rPr>
        <w:t>ки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обучающийся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должен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выполнить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установленный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образовательной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объем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работ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по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видам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профессиональной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деятельности: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6666"/>
        <w:gridCol w:w="1577"/>
      </w:tblGrid>
      <w:tr w:rsidR="00466BB0" w:rsidTr="00466BB0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Индекс производственной практики</w:t>
            </w:r>
          </w:p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(ПДП)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B0" w:rsidRPr="006649AC" w:rsidRDefault="00466BB0" w:rsidP="0046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Виды профессиональной деятельности (ВПД)</w:t>
            </w:r>
          </w:p>
          <w:p w:rsidR="00466BB0" w:rsidRPr="006649AC" w:rsidRDefault="00466BB0" w:rsidP="0046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Профессиональная компетенция (ПК)</w:t>
            </w:r>
          </w:p>
          <w:p w:rsidR="00466BB0" w:rsidRPr="006649AC" w:rsidRDefault="00466BB0" w:rsidP="0046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общие компетенции</w:t>
            </w:r>
          </w:p>
        </w:tc>
      </w:tr>
      <w:tr w:rsidR="00466BB0" w:rsidTr="00466BB0">
        <w:trPr>
          <w:trHeight w:val="60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ПМ.01 Выполнение работ по созданию геодезических, нивелирных сетей и сетей специального назначения</w:t>
            </w:r>
          </w:p>
        </w:tc>
      </w:tr>
      <w:tr w:rsidR="00466BB0" w:rsidTr="00466BB0">
        <w:trPr>
          <w:trHeight w:val="4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исследования, поверки и юстировку геодезических приборов и систем.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649AC">
              <w:rPr>
                <w:rFonts w:ascii="Times New Roman" w:hAnsi="Times New Roman"/>
                <w:i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66BB0" w:rsidTr="00466BB0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66BB0" w:rsidTr="00466BB0">
        <w:trPr>
          <w:trHeight w:val="4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работы по полевому обследованию пунктов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5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специальные геодезические измерения при эксплуатации поверхности и недр Земли.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4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66BB0" w:rsidTr="00466BB0">
        <w:trPr>
          <w:trHeight w:val="9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4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ПМ.02 Выполнение топографических съемок графического и цифрового оформления их результатов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ПМ.03 Организация работы коллектива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 xml:space="preserve">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</w:t>
            </w:r>
            <w:r w:rsidRPr="006649AC">
              <w:rPr>
                <w:rFonts w:ascii="Times New Roman" w:hAnsi="Times New Roman"/>
                <w:sz w:val="18"/>
                <w:szCs w:val="18"/>
              </w:rPr>
              <w:lastRenderedPageBreak/>
              <w:t>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lastRenderedPageBreak/>
              <w:t>ПК 3.2.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Обеспечивать соблюдение правил техники безопасности при выполнении работ, требований технических регламентов и инструкций.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Принимать самостоятельные решения по комплектованию бригад исполнителей и организации их работы.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Реализовывать мероприятия по повышению эффективности работ, направленных на снижение трудоемкости и повышение производительности труда.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проектирование и производство геодезических изысканий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BB0" w:rsidTr="00466BB0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1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2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3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4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5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информационно-коммуникационные технологии в про</w:t>
            </w:r>
            <w:r w:rsidRPr="006649AC">
              <w:rPr>
                <w:rFonts w:ascii="Times New Roman" w:hAnsi="Times New Roman"/>
                <w:sz w:val="18"/>
                <w:szCs w:val="18"/>
              </w:rPr>
              <w:softHyphen/>
              <w:t>фессиональной деятельности.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6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7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8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9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B0" w:rsidRPr="006649AC" w:rsidRDefault="00466BB0" w:rsidP="00466BB0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66BB0" w:rsidTr="00466BB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Общая трудоемкость</w:t>
            </w:r>
          </w:p>
          <w:p w:rsidR="00466BB0" w:rsidRPr="006649AC" w:rsidRDefault="00466BB0" w:rsidP="0046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(часы/недели)</w:t>
            </w:r>
          </w:p>
          <w:p w:rsidR="00466BB0" w:rsidRPr="006649AC" w:rsidRDefault="00466BB0" w:rsidP="00466BB0">
            <w:pPr>
              <w:spacing w:line="260" w:lineRule="exact"/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6649AC" w:rsidRDefault="00466BB0" w:rsidP="00466BB0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466BB0" w:rsidRPr="006649AC" w:rsidRDefault="00466BB0" w:rsidP="00466BB0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466BB0" w:rsidRPr="006649AC" w:rsidRDefault="00466BB0" w:rsidP="00466BB0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  <w:r w:rsidRPr="006649AC">
              <w:rPr>
                <w:rStyle w:val="24"/>
                <w:rFonts w:eastAsia="Arial Unicode MS"/>
                <w:sz w:val="18"/>
                <w:szCs w:val="18"/>
              </w:rPr>
              <w:t>144 часа / 4 недели</w:t>
            </w:r>
          </w:p>
          <w:p w:rsidR="00466BB0" w:rsidRPr="006649AC" w:rsidRDefault="00466BB0" w:rsidP="00466BB0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</w:tr>
    </w:tbl>
    <w:p w:rsidR="00466BB0" w:rsidRDefault="00466BB0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jc w:val="left"/>
      </w:pP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466BB0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181194" wp14:editId="76672731">
                  <wp:simplePos x="0" y="0"/>
                  <wp:positionH relativeFrom="margin">
                    <wp:posOffset>1056640</wp:posOffset>
                  </wp:positionH>
                  <wp:positionV relativeFrom="margin">
                    <wp:posOffset>0</wp:posOffset>
                  </wp:positionV>
                  <wp:extent cx="543560" cy="485775"/>
                  <wp:effectExtent l="0" t="0" r="889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FCC">
              <w:rPr>
                <w:sz w:val="22"/>
                <w:szCs w:val="22"/>
              </w:rPr>
              <w:t>Обучающийся</w:t>
            </w:r>
            <w:r w:rsidR="009B3B90">
              <w:rPr>
                <w:sz w:val="22"/>
                <w:szCs w:val="22"/>
              </w:rPr>
              <w:t xml:space="preserve">                                                   </w:t>
            </w:r>
            <w:r w:rsidR="008A5FCC">
              <w:rPr>
                <w:sz w:val="22"/>
                <w:szCs w:val="22"/>
              </w:rPr>
              <w:t>подпись</w:t>
            </w:r>
          </w:p>
        </w:tc>
      </w:tr>
    </w:tbl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466BB0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466BB0" w:rsidRDefault="00C42AE2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13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9B3B90">
        <w:rPr>
          <w:rFonts w:ascii="Times New Roman" w:hAnsi="Times New Roman"/>
          <w:b/>
          <w:color w:val="FF0000"/>
        </w:rPr>
        <w:t xml:space="preserve"> </w:t>
      </w:r>
    </w:p>
    <w:p w:rsidR="0002399B" w:rsidRPr="00466BB0" w:rsidRDefault="0002399B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02399B">
        <w:rPr>
          <w:rFonts w:ascii="Times New Roman" w:hAnsi="Times New Roman"/>
        </w:rPr>
        <w:lastRenderedPageBreak/>
        <w:t>АТТЕСТАЦИОННЫЙ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ЛИСТ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ПО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ПРОИЗВОДСТВЕННОЙ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в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форме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Обучающийся: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Олег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Иванович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прошел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производственную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практику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форме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практической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подготовки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показал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следующий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уровень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профессиональных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общих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компетенций:</w:t>
      </w:r>
    </w:p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872"/>
        <w:gridCol w:w="4794"/>
        <w:gridCol w:w="1577"/>
      </w:tblGrid>
      <w:tr w:rsidR="00C9311B" w:rsidTr="003F21A4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6649AC" w:rsidRDefault="00C9311B" w:rsidP="003F21A4">
            <w:pPr>
              <w:jc w:val="center"/>
              <w:rPr>
                <w:rFonts w:ascii="Times New Roman" w:hAnsi="Times New Roman" w:cs="Times New Roman"/>
              </w:rPr>
            </w:pPr>
            <w:r w:rsidRPr="006649AC">
              <w:rPr>
                <w:rFonts w:ascii="Times New Roman" w:hAnsi="Times New Roman"/>
              </w:rPr>
              <w:t>№ ПК,</w:t>
            </w:r>
          </w:p>
          <w:p w:rsidR="00C9311B" w:rsidRPr="006649AC" w:rsidRDefault="00C9311B" w:rsidP="003F21A4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6649AC" w:rsidRDefault="00C9311B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Профессиональная компетенция (ПК)</w:t>
            </w:r>
          </w:p>
          <w:p w:rsidR="00C9311B" w:rsidRPr="006649AC" w:rsidRDefault="00C9311B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6649AC" w:rsidRDefault="00C9311B" w:rsidP="003F21A4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Уровень сформированности ПК и ОК</w:t>
            </w:r>
          </w:p>
          <w:p w:rsidR="00C9311B" w:rsidRPr="006649AC" w:rsidRDefault="00C9311B" w:rsidP="003F21A4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(2,3,4,5)</w:t>
            </w:r>
          </w:p>
        </w:tc>
      </w:tr>
      <w:tr w:rsidR="00C9311B" w:rsidTr="003F21A4">
        <w:trPr>
          <w:trHeight w:val="603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3F21A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ПМ.01 Выполнение работ по созданию геодезических, нивелирных сетей и сетей специального назначения</w:t>
            </w:r>
          </w:p>
        </w:tc>
      </w:tr>
      <w:tr w:rsidR="00C9311B" w:rsidTr="00DE6D1C">
        <w:trPr>
          <w:trHeight w:val="4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исследования, поверки и юстировку геодезических приборов и систем.</w:t>
            </w:r>
          </w:p>
        </w:tc>
        <w:tc>
          <w:tcPr>
            <w:tcW w:w="1577" w:type="dxa"/>
            <w:vAlign w:val="center"/>
          </w:tcPr>
          <w:p w:rsidR="00C9311B" w:rsidRPr="002D6F75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 w:rsidRPr="002D6F75"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E6D1C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9311B" w:rsidRPr="002D6F75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 w:rsidRPr="002D6F75"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E6D1C">
        <w:trPr>
          <w:trHeight w:val="4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работы по полевому обследованию пунктов геодезических сетей.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E6D1C">
        <w:trPr>
          <w:trHeight w:val="5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специальные геодезические измерения при эксплуатации поверхности и недр Земли.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E6D1C">
        <w:trPr>
          <w:trHeight w:val="4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E6D1C">
        <w:trPr>
          <w:trHeight w:val="9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</w:tc>
        <w:tc>
          <w:tcPr>
            <w:tcW w:w="1577" w:type="dxa"/>
            <w:vAlign w:val="center"/>
          </w:tcPr>
          <w:p w:rsidR="00C9311B" w:rsidRPr="002D6F75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 w:rsidRPr="002D6F75"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E6D1C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9311B" w:rsidRPr="002D6F75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 w:rsidRPr="002D6F75"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3F21A4">
        <w:trPr>
          <w:trHeight w:val="41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3F21A4">
            <w:pPr>
              <w:jc w:val="center"/>
              <w:rPr>
                <w:rFonts w:ascii="Times New Roman" w:hAnsi="Times New Roman"/>
                <w:i/>
              </w:rPr>
            </w:pPr>
            <w:r w:rsidRPr="006649AC">
              <w:rPr>
                <w:rFonts w:ascii="Times New Roman" w:hAnsi="Times New Roman"/>
              </w:rPr>
              <w:t>ПМ.02 Выполнение топографических съемок графического и цифрового оформления их результатов</w:t>
            </w:r>
          </w:p>
        </w:tc>
      </w:tr>
      <w:tr w:rsidR="00C9311B" w:rsidTr="00B92E18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B92E18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B92E18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 xml:space="preserve"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</w:t>
            </w:r>
            <w:r w:rsidRPr="006649AC">
              <w:rPr>
                <w:rFonts w:ascii="Times New Roman" w:hAnsi="Times New Roman"/>
              </w:rPr>
              <w:lastRenderedPageBreak/>
              <w:t>топографических работ.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B92E18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lastRenderedPageBreak/>
              <w:t>ПК 2.4.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B92E18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3F21A4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3F21A4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ПМ.03 Организация работы коллектива</w:t>
            </w:r>
          </w:p>
        </w:tc>
      </w:tr>
      <w:tr w:rsidR="00C9311B" w:rsidTr="008A5EC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8A5EC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Обеспечивать соблюдение правил техники безопасности при выполнении работ, требований технических регламентов и инструкций.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8A5EC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Принимать самостоятельные решения по комплектованию бригад исполнителей и организации их работы.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8A5EC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Реализовывать мероприятия по повышению эффективности работ, направленных на снижение трудоемкости и повышение производительности труда.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3F21A4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3F21A4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проектирование и производство геодезических изысканий объектов строительства.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4.8.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F54BB2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4.9.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 xml:space="preserve"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</w:t>
            </w:r>
            <w:r w:rsidRPr="006649AC">
              <w:rPr>
                <w:rFonts w:ascii="Times New Roman" w:hAnsi="Times New Roman"/>
              </w:rPr>
              <w:lastRenderedPageBreak/>
              <w:t>опасными геодинамическими процессами.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3F21A4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3F21A4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lastRenderedPageBreak/>
              <w:t>Общие компетенции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 w:rsidRPr="006649AC"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7" w:type="dxa"/>
          </w:tcPr>
          <w:p w:rsidR="00C9311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</w:p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311B" w:rsidTr="00DA5D4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9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6649AC" w:rsidRDefault="00C9311B" w:rsidP="00C9311B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7" w:type="dxa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311B" w:rsidTr="003F21A4">
        <w:trPr>
          <w:trHeight w:val="40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практической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подготовки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C9311B" w:rsidTr="003F21A4">
        <w:trPr>
          <w:trHeight w:val="40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E69">
              <w:rPr>
                <w:rFonts w:ascii="Times New Roman" w:hAnsi="Times New Roman" w:cs="Times New Roman"/>
                <w:noProof/>
                <w:color w:val="auto"/>
              </w:rPr>
              <w:t>И.И. Петров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bidi="ar-SA"/>
              </w:rPr>
              <w:drawing>
                <wp:inline distT="0" distB="0" distL="0" distR="0" wp14:anchorId="72DFDBB4" wp14:editId="10FC7DBB">
                  <wp:extent cx="733425" cy="61695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52" cy="61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13.05.23</w:t>
            </w:r>
          </w:p>
        </w:tc>
      </w:tr>
      <w:tr w:rsidR="00C9311B" w:rsidTr="003F21A4">
        <w:trPr>
          <w:trHeight w:val="40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практической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подготовки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Организации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B" w:rsidRPr="0002399B" w:rsidRDefault="00C9311B" w:rsidP="00C931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Pr="0002399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p w:rsidR="009B3B90" w:rsidRDefault="009B3B90" w:rsidP="008869DD">
      <w:pPr>
        <w:pStyle w:val="ac"/>
        <w:jc w:val="center"/>
        <w:rPr>
          <w:rFonts w:ascii="Times New Roman" w:hAnsi="Times New Roman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hAnsi="Times New Roman"/>
        </w:rPr>
        <w:br w:type="page"/>
      </w:r>
    </w:p>
    <w:p w:rsidR="00BE3873" w:rsidRDefault="00BE3873" w:rsidP="008869DD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tbl>
      <w:tblPr>
        <w:tblStyle w:val="ab"/>
        <w:tblpPr w:leftFromText="180" w:rightFromText="180" w:vertAnchor="text" w:horzAnchor="margin" w:tblpX="-431" w:tblpY="129"/>
        <w:tblW w:w="10343" w:type="dxa"/>
        <w:tblLook w:val="04A0" w:firstRow="1" w:lastRow="0" w:firstColumn="1" w:lastColumn="0" w:noHBand="0" w:noVBand="1"/>
      </w:tblPr>
      <w:tblGrid>
        <w:gridCol w:w="3740"/>
        <w:gridCol w:w="1631"/>
        <w:gridCol w:w="2799"/>
        <w:gridCol w:w="2173"/>
      </w:tblGrid>
      <w:tr w:rsidR="00F536BB" w:rsidRPr="00BE3873" w:rsidTr="008869DD">
        <w:trPr>
          <w:trHeight w:val="25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Настоящая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дана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обучающемуся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Петрову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Ивановичу</w:t>
            </w:r>
          </w:p>
        </w:tc>
      </w:tr>
      <w:tr w:rsidR="00F536BB" w:rsidRPr="00BE3873" w:rsidTr="008869DD">
        <w:trPr>
          <w:trHeight w:val="65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b/>
                <w:sz w:val="22"/>
                <w:lang w:bidi="ru-RU"/>
              </w:rPr>
            </w:pP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Общество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ограниченной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ответственностью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группа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компаний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«</w:t>
            </w:r>
            <w:proofErr w:type="spellStart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ЗемГеоКад</w:t>
            </w:r>
            <w:proofErr w:type="spellEnd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»,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г.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Новосибирск</w:t>
            </w:r>
          </w:p>
        </w:tc>
      </w:tr>
      <w:tr w:rsidR="00F536BB" w:rsidRPr="00BE3873" w:rsidTr="008869DD">
        <w:trPr>
          <w:trHeight w:val="238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</w:p>
        </w:tc>
        <w:tc>
          <w:tcPr>
            <w:tcW w:w="6297" w:type="dxa"/>
            <w:gridSpan w:val="3"/>
            <w:vAlign w:val="center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Даты: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17.04.2023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13.05.2023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</w:t>
            </w:r>
          </w:p>
        </w:tc>
      </w:tr>
      <w:tr w:rsidR="00F536BB" w:rsidRPr="00BE3873" w:rsidTr="008869DD">
        <w:trPr>
          <w:trHeight w:val="945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За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время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Обучающийся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ознакомился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трудового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охраны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порядком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пожарной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процесс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участке.</w:t>
            </w:r>
          </w:p>
        </w:tc>
      </w:tr>
      <w:tr w:rsidR="00F536BB" w:rsidRPr="00BE3873" w:rsidTr="008869DD">
        <w:trPr>
          <w:trHeight w:val="64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Принимал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сдачу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проектную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документацию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надзорные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(печатал,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сшивал);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занимался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отдела-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оформлял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журнал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документов.</w:t>
            </w:r>
          </w:p>
        </w:tc>
      </w:tr>
      <w:tr w:rsidR="00F536BB" w:rsidRPr="00BE3873" w:rsidTr="008869DD">
        <w:trPr>
          <w:trHeight w:val="52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Должностные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обязанности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компании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целом;</w:t>
            </w:r>
          </w:p>
          <w:p w:rsidR="002F6E4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-выполнять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2F6E45" w:rsidRPr="00B83825">
              <w:rPr>
                <w:rFonts w:ascii="Times New Roman" w:hAnsi="Times New Roman"/>
                <w:sz w:val="22"/>
                <w:lang w:bidi="ru-RU"/>
              </w:rPr>
              <w:t>отдела;</w:t>
            </w:r>
          </w:p>
          <w:p w:rsidR="00F536BB" w:rsidRPr="00B83825" w:rsidRDefault="002F6E45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правила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рабочем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месте.</w:t>
            </w:r>
          </w:p>
        </w:tc>
      </w:tr>
      <w:tr w:rsidR="00F536BB" w:rsidRPr="00BE3873" w:rsidTr="008869DD">
        <w:trPr>
          <w:trHeight w:val="47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Практикант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применял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полученные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техникуме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проведения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экологии.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</w:tc>
      </w:tr>
      <w:tr w:rsidR="00F536BB" w:rsidRPr="00BE3873" w:rsidTr="008869DD">
        <w:trPr>
          <w:trHeight w:val="794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личных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Учащегося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О.И.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можно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охарактеризовать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целеустремленного,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дисциплинированного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человека,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обладающего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необходимыми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своей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быстро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усваивающего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различную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информацию.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общении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–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дружелюбен,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вежлив,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коммуникабельный.</w:t>
            </w:r>
          </w:p>
        </w:tc>
      </w:tr>
      <w:tr w:rsidR="00F536BB" w:rsidRPr="00BE3873" w:rsidTr="008869DD">
        <w:trPr>
          <w:trHeight w:val="65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течение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внимательно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ответственно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относился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выполняемой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добросовестно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стремится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навыков.</w:t>
            </w:r>
          </w:p>
        </w:tc>
      </w:tr>
      <w:tr w:rsidR="00F536BB" w:rsidRPr="00BE3873" w:rsidTr="008869DD">
        <w:trPr>
          <w:trHeight w:val="79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Оценка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i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proofErr w:type="gramStart"/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  <w:r w:rsidR="00BE2CC7">
              <w:rPr>
                <w:rFonts w:ascii="Times New Roman" w:hAnsi="Times New Roman"/>
                <w:sz w:val="22"/>
                <w:lang w:bidi="ru-RU"/>
              </w:rPr>
              <w:br/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proofErr w:type="gramEnd"/>
            <w:r w:rsidRPr="00B83825">
              <w:rPr>
                <w:rFonts w:ascii="Times New Roman" w:hAnsi="Times New Roman"/>
                <w:sz w:val="22"/>
                <w:lang w:bidi="ru-RU"/>
              </w:rPr>
              <w:t>________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положительно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__________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                              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(положительно,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удовлетворительно)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оценивает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поставленные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были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требований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исполнения</w:t>
            </w:r>
          </w:p>
        </w:tc>
      </w:tr>
      <w:tr w:rsidR="00F536BB" w:rsidRPr="00BE3873" w:rsidTr="008869DD">
        <w:trPr>
          <w:trHeight w:val="217"/>
        </w:trPr>
        <w:tc>
          <w:tcPr>
            <w:tcW w:w="10343" w:type="dxa"/>
            <w:gridSpan w:val="4"/>
            <w:vAlign w:val="center"/>
          </w:tcPr>
          <w:p w:rsidR="00F536BB" w:rsidRPr="00BE3873" w:rsidRDefault="00F536BB" w:rsidP="00B83825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организации</w:t>
            </w:r>
          </w:p>
        </w:tc>
      </w:tr>
      <w:tr w:rsidR="00F536BB" w:rsidRPr="00BE3873" w:rsidTr="008869DD">
        <w:trPr>
          <w:trHeight w:val="770"/>
        </w:trPr>
        <w:tc>
          <w:tcPr>
            <w:tcW w:w="5966" w:type="dxa"/>
            <w:gridSpan w:val="2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ФИО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Профильной</w:t>
            </w:r>
            <w:proofErr w:type="gramEnd"/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организации</w:t>
            </w:r>
          </w:p>
        </w:tc>
        <w:tc>
          <w:tcPr>
            <w:tcW w:w="2096" w:type="dxa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81" w:type="dxa"/>
            <w:vAlign w:val="center"/>
          </w:tcPr>
          <w:p w:rsidR="00F536BB" w:rsidRPr="00BE3873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заслуживают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оценку</w:t>
            </w:r>
          </w:p>
        </w:tc>
      </w:tr>
      <w:tr w:rsidR="00F536BB" w:rsidRPr="00BE3873" w:rsidTr="00B83825">
        <w:trPr>
          <w:trHeight w:val="274"/>
        </w:trPr>
        <w:tc>
          <w:tcPr>
            <w:tcW w:w="5966" w:type="dxa"/>
            <w:gridSpan w:val="2"/>
            <w:vAlign w:val="center"/>
          </w:tcPr>
          <w:p w:rsidR="00F536BB" w:rsidRPr="00B83825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А.Б</w:t>
            </w:r>
            <w:r w:rsidRPr="00B83825">
              <w:rPr>
                <w:rFonts w:ascii="Times New Roman" w:hAnsi="Times New Roman"/>
                <w:sz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lang w:bidi="ru-RU"/>
              </w:rPr>
              <w:t xml:space="preserve"> Иванов</w:t>
            </w:r>
          </w:p>
        </w:tc>
        <w:tc>
          <w:tcPr>
            <w:tcW w:w="2096" w:type="dxa"/>
            <w:vAlign w:val="center"/>
          </w:tcPr>
          <w:p w:rsidR="00F536BB" w:rsidRPr="00BE3873" w:rsidRDefault="00C9311B" w:rsidP="008869DD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355EAB68">
                  <wp:extent cx="1640205" cy="9512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center"/>
          </w:tcPr>
          <w:p w:rsidR="00F536BB" w:rsidRPr="00BE2CC7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Отлично</w:t>
            </w:r>
          </w:p>
        </w:tc>
      </w:tr>
    </w:tbl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0D359D">
      <w:pPr>
        <w:pStyle w:val="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3825" w:rsidRDefault="00B83825" w:rsidP="005003B2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br w:type="page"/>
      </w: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</w:p>
    <w:p w:rsidR="00BE3873" w:rsidRPr="00BE3873" w:rsidRDefault="009B3B90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Олег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группа: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C9311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ПГ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9311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11-35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4A4912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3873" w:rsidRPr="00BE3873" w:rsidTr="004A4912">
        <w:trPr>
          <w:trHeight w:val="310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-18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работой,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19.04-21.04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практики)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24.04-26.04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сдачу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проектов-распечатка,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сшивание,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27.04-29.04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версиями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быстроты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02.05-03.05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04.05-05.05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7C4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09.05-10.05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</w:tbl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DA2" w:rsidRDefault="00BE3873" w:rsidP="00BE3873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F00B93">
            <wp:extent cx="508754" cy="4540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4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О.И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B83825" w:rsidRDefault="00B83825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B90" w:rsidRPr="00314E69" w:rsidRDefault="00BE3873" w:rsidP="00B83825">
      <w:pPr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проверил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руководитель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Профильной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организации</w:t>
      </w:r>
      <w:r w:rsidR="00B83825">
        <w:rPr>
          <w:rFonts w:ascii="Times New Roman" w:hAnsi="Times New Roman" w:cs="Times New Roman"/>
          <w:sz w:val="28"/>
          <w:szCs w:val="28"/>
        </w:rPr>
        <w:br/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</w:t>
      </w:r>
      <w:r w:rsidR="00886E3F">
        <w:rPr>
          <w:rFonts w:ascii="Times New Roman" w:hAnsi="Times New Roman"/>
          <w:i/>
          <w:noProof/>
        </w:rPr>
        <w:drawing>
          <wp:inline distT="0" distB="0" distL="0" distR="0" wp14:anchorId="0E578DEF" wp14:editId="4FECC53E">
            <wp:extent cx="936163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26" cy="56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</w:t>
      </w:r>
      <w:r w:rsidR="00886E3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86E3F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Иванов А.Б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0D359D" w:rsidRDefault="000D359D" w:rsidP="009B3B90">
      <w:pPr>
        <w:widowControl/>
        <w:rPr>
          <w:rFonts w:ascii="Times New Roman" w:hAnsi="Times New Roman" w:cs="Times New Roman"/>
          <w:sz w:val="28"/>
          <w:szCs w:val="28"/>
        </w:rPr>
        <w:sectPr w:rsidR="000D359D" w:rsidSect="007C6879">
          <w:footerReference w:type="default" r:id="rId17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C42AE2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1" w:name="_Toc119588206"/>
      <w:r w:rsidRPr="000D359D">
        <w:lastRenderedPageBreak/>
        <w:t>ВВЕДЕНИЕ</w:t>
      </w:r>
      <w:bookmarkEnd w:id="1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2023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Ni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двухдиапазонный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8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E2" w:rsidRDefault="00C42AE2" w:rsidP="007C6879">
      <w:r>
        <w:separator/>
      </w:r>
    </w:p>
  </w:endnote>
  <w:endnote w:type="continuationSeparator" w:id="0">
    <w:p w:rsidR="00C42AE2" w:rsidRDefault="00C42AE2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466B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466BB0" w:rsidRPr="009B3B90" w:rsidRDefault="00466BB0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886E3F">
          <w:rPr>
            <w:noProof/>
            <w:sz w:val="24"/>
          </w:rPr>
          <w:t>14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E2" w:rsidRDefault="00C42AE2" w:rsidP="007C6879">
      <w:r>
        <w:separator/>
      </w:r>
    </w:p>
  </w:footnote>
  <w:footnote w:type="continuationSeparator" w:id="0">
    <w:p w:rsidR="00C42AE2" w:rsidRDefault="00C42AE2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C42A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C42A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C42A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D0BF8"/>
    <w:rsid w:val="002D6F75"/>
    <w:rsid w:val="002E304F"/>
    <w:rsid w:val="002F6E45"/>
    <w:rsid w:val="002F77E2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6FC3"/>
    <w:rsid w:val="00405863"/>
    <w:rsid w:val="00445B6C"/>
    <w:rsid w:val="00447132"/>
    <w:rsid w:val="00462555"/>
    <w:rsid w:val="004649F7"/>
    <w:rsid w:val="00466BB0"/>
    <w:rsid w:val="004802D0"/>
    <w:rsid w:val="0048520D"/>
    <w:rsid w:val="0049085C"/>
    <w:rsid w:val="004A4912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BCF"/>
    <w:rsid w:val="0066405E"/>
    <w:rsid w:val="00672C72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721E"/>
    <w:rsid w:val="00717349"/>
    <w:rsid w:val="00721E70"/>
    <w:rsid w:val="00727929"/>
    <w:rsid w:val="00741FEE"/>
    <w:rsid w:val="00762617"/>
    <w:rsid w:val="00776F52"/>
    <w:rsid w:val="00782BC7"/>
    <w:rsid w:val="007C46B3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86E3F"/>
    <w:rsid w:val="00890B19"/>
    <w:rsid w:val="008A5FCC"/>
    <w:rsid w:val="008A6930"/>
    <w:rsid w:val="008B3249"/>
    <w:rsid w:val="008B3996"/>
    <w:rsid w:val="008C3D5D"/>
    <w:rsid w:val="008D5DB2"/>
    <w:rsid w:val="008D67C6"/>
    <w:rsid w:val="00915545"/>
    <w:rsid w:val="00943547"/>
    <w:rsid w:val="00945B2A"/>
    <w:rsid w:val="00972BE4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95FD4"/>
    <w:rsid w:val="00AC14D8"/>
    <w:rsid w:val="00B10869"/>
    <w:rsid w:val="00B2738F"/>
    <w:rsid w:val="00B33E10"/>
    <w:rsid w:val="00B60A31"/>
    <w:rsid w:val="00B61111"/>
    <w:rsid w:val="00B83825"/>
    <w:rsid w:val="00B84592"/>
    <w:rsid w:val="00B86FD2"/>
    <w:rsid w:val="00B94118"/>
    <w:rsid w:val="00BB39CD"/>
    <w:rsid w:val="00BD5657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42AE2"/>
    <w:rsid w:val="00C57B2C"/>
    <w:rsid w:val="00C720FA"/>
    <w:rsid w:val="00C81769"/>
    <w:rsid w:val="00C914AF"/>
    <w:rsid w:val="00C9311B"/>
    <w:rsid w:val="00CA0036"/>
    <w:rsid w:val="00CB4242"/>
    <w:rsid w:val="00CC3F62"/>
    <w:rsid w:val="00CD72A7"/>
    <w:rsid w:val="00CF57E3"/>
    <w:rsid w:val="00D13EFB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248D0"/>
    <w:rsid w:val="00F43B64"/>
    <w:rsid w:val="00F4554F"/>
    <w:rsid w:val="00F46780"/>
    <w:rsid w:val="00F522EA"/>
    <w:rsid w:val="00F536BB"/>
    <w:rsid w:val="00F72982"/>
    <w:rsid w:val="00F7307A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uGfo/TnzNQjUD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4B617-958D-4779-B226-C3EA51F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4</cp:revision>
  <cp:lastPrinted>2022-11-10T03:06:00Z</cp:lastPrinted>
  <dcterms:created xsi:type="dcterms:W3CDTF">2022-11-24T06:49:00Z</dcterms:created>
  <dcterms:modified xsi:type="dcterms:W3CDTF">2022-11-25T04:25:00Z</dcterms:modified>
</cp:coreProperties>
</file>