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науки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Федеральное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бюджетное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образовательное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учреждение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образования</w:t>
      </w:r>
    </w:p>
    <w:p w:rsidR="00F522EA" w:rsidRPr="007C6879" w:rsidRDefault="009B3B90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«Сибирский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государственный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университет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геосистем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F522EA"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техникум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и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(НТГиК</w:t>
      </w:r>
      <w:r w:rsidR="009B3B9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СГУГиТ)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9B3B90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ПРОИЗВОДСТВЕННОЙ</w:t>
      </w:r>
      <w:r w:rsidR="009B3B90">
        <w:rPr>
          <w:rFonts w:ascii="Times New Roman" w:hAnsi="Times New Roman"/>
          <w:szCs w:val="28"/>
        </w:rPr>
        <w:t xml:space="preserve"> </w:t>
      </w:r>
      <w:r w:rsidRPr="002410D1">
        <w:rPr>
          <w:rFonts w:ascii="Times New Roman" w:hAnsi="Times New Roman"/>
          <w:szCs w:val="28"/>
        </w:rPr>
        <w:t>ПРАКТИКЕ</w:t>
      </w:r>
      <w:r w:rsidR="002A466A">
        <w:rPr>
          <w:rFonts w:ascii="Times New Roman" w:hAnsi="Times New Roman"/>
          <w:szCs w:val="28"/>
        </w:rPr>
        <w:t>:</w:t>
      </w:r>
      <w:r w:rsidR="009B3B90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BE3873">
        <w:rPr>
          <w:rFonts w:ascii="Times New Roman" w:hAnsi="Times New Roman" w:cs="Times New Roman"/>
          <w:sz w:val="28"/>
          <w:szCs w:val="28"/>
        </w:rPr>
        <w:t>(</w:t>
      </w:r>
      <w:r w:rsidR="00445334">
        <w:rPr>
          <w:rFonts w:ascii="Times New Roman" w:hAnsi="Times New Roman" w:cs="Times New Roman"/>
          <w:sz w:val="28"/>
          <w:szCs w:val="28"/>
        </w:rPr>
        <w:t xml:space="preserve">профилю специальности)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>по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Pr="002410D1">
        <w:rPr>
          <w:rFonts w:ascii="Times New Roman" w:hAnsi="Times New Roman" w:cs="Times New Roman"/>
          <w:sz w:val="28"/>
          <w:szCs w:val="28"/>
        </w:rPr>
        <w:t>специальности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E41619" w:rsidRPr="00E4161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21.02.20 </w:t>
      </w:r>
      <w:r w:rsidR="009B3B90" w:rsidRPr="00E4161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="00E41619" w:rsidRPr="00E4161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Прикладная геодезия- направленность Аэрофотогеодезия</w:t>
      </w:r>
      <w:r w:rsidR="00E41619" w:rsidRPr="00E4161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>Форма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</w:rPr>
        <w:t>обучения:</w:t>
      </w:r>
      <w:r w:rsidR="009B3B90">
        <w:rPr>
          <w:rFonts w:ascii="Times New Roman" w:hAnsi="Times New Roman"/>
        </w:rPr>
        <w:t xml:space="preserve">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BE3873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</w:t>
      </w:r>
      <w:r w:rsidR="009B3B90">
        <w:rPr>
          <w:rFonts w:ascii="Times New Roman" w:hAnsi="Times New Roman"/>
          <w:noProof/>
        </w:rPr>
        <w:t xml:space="preserve"> </w:t>
      </w:r>
      <w:r w:rsidR="008D6900" w:rsidRPr="00E41619">
        <w:rPr>
          <w:rFonts w:ascii="Times New Roman" w:hAnsi="Times New Roman"/>
          <w:noProof/>
          <w:color w:val="FF0000"/>
        </w:rPr>
        <w:t>АФГ</w:t>
      </w:r>
      <w:r w:rsidR="009B3B90" w:rsidRPr="00E41619">
        <w:rPr>
          <w:rFonts w:ascii="Times New Roman" w:hAnsi="Times New Roman"/>
          <w:noProof/>
          <w:color w:val="FF0000"/>
        </w:rPr>
        <w:t xml:space="preserve"> </w:t>
      </w:r>
      <w:r w:rsidR="00445334" w:rsidRPr="00E41619">
        <w:rPr>
          <w:rFonts w:ascii="Times New Roman" w:hAnsi="Times New Roman"/>
          <w:noProof/>
          <w:color w:val="FF0000"/>
        </w:rPr>
        <w:t>11-22</w:t>
      </w:r>
    </w:p>
    <w:p w:rsidR="00106893" w:rsidRPr="002410D1" w:rsidRDefault="00106893" w:rsidP="000D359D">
      <w:pPr>
        <w:pStyle w:val="2"/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B83825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B8382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81353B0" wp14:editId="187E760F">
            <wp:simplePos x="0" y="0"/>
            <wp:positionH relativeFrom="column">
              <wp:posOffset>3415665</wp:posOffset>
            </wp:positionH>
            <wp:positionV relativeFrom="paragraph">
              <wp:posOffset>8255</wp:posOffset>
            </wp:positionV>
            <wp:extent cx="741600" cy="658800"/>
            <wp:effectExtent l="0" t="0" r="1905" b="8255"/>
            <wp:wrapSquare wrapText="bothSides"/>
            <wp:docPr id="1" name="Рисунок 1" descr="Составьте свою уникальную подпис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те свою уникальную подпись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5" r="37275" b="8527"/>
                    <a:stretch/>
                  </pic:blipFill>
                  <pic:spPr bwMode="auto">
                    <a:xfrm>
                      <a:off x="0" y="0"/>
                      <a:ext cx="741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90">
        <w:rPr>
          <w:rFonts w:ascii="Times New Roman" w:hAnsi="Times New Roman" w:cs="Times New Roman"/>
        </w:rPr>
        <w:t xml:space="preserve">         </w:t>
      </w:r>
    </w:p>
    <w:p w:rsidR="00106893" w:rsidRPr="00E41619" w:rsidRDefault="009B3B90" w:rsidP="00D1572F">
      <w:pPr>
        <w:ind w:left="1134" w:right="283"/>
        <w:contextualSpacing/>
        <w:rPr>
          <w:rFonts w:ascii="Times New Roman" w:hAnsi="Times New Roman" w:cs="Times New Roman"/>
          <w:b/>
          <w:color w:val="FF0000"/>
        </w:rPr>
      </w:pPr>
      <w:r w:rsidRPr="00E41619">
        <w:rPr>
          <w:rFonts w:ascii="Times New Roman" w:hAnsi="Times New Roman" w:cs="Times New Roman"/>
          <w:noProof/>
          <w:color w:val="FF0000"/>
          <w:u w:val="single"/>
        </w:rPr>
        <w:t xml:space="preserve">   </w:t>
      </w:r>
      <w:r w:rsidR="008A6930" w:rsidRPr="00E41619">
        <w:rPr>
          <w:rFonts w:ascii="Times New Roman" w:hAnsi="Times New Roman" w:cs="Times New Roman"/>
          <w:noProof/>
          <w:color w:val="FF0000"/>
          <w:u w:val="single"/>
        </w:rPr>
        <w:t>Петров</w:t>
      </w:r>
      <w:r w:rsidRPr="00E41619">
        <w:rPr>
          <w:rFonts w:ascii="Times New Roman" w:hAnsi="Times New Roman" w:cs="Times New Roman"/>
          <w:noProof/>
          <w:color w:val="FF0000"/>
          <w:u w:val="single"/>
        </w:rPr>
        <w:t xml:space="preserve"> </w:t>
      </w:r>
      <w:r w:rsidR="008A6930" w:rsidRPr="00E41619">
        <w:rPr>
          <w:rFonts w:ascii="Times New Roman" w:hAnsi="Times New Roman" w:cs="Times New Roman"/>
          <w:noProof/>
          <w:color w:val="FF0000"/>
          <w:u w:val="single"/>
        </w:rPr>
        <w:t>Олег</w:t>
      </w:r>
      <w:r w:rsidRPr="00E41619">
        <w:rPr>
          <w:rFonts w:ascii="Times New Roman" w:hAnsi="Times New Roman" w:cs="Times New Roman"/>
          <w:noProof/>
          <w:color w:val="FF0000"/>
          <w:u w:val="single"/>
        </w:rPr>
        <w:t xml:space="preserve"> </w:t>
      </w:r>
      <w:r w:rsidR="002A466A" w:rsidRPr="00E41619">
        <w:rPr>
          <w:rFonts w:ascii="Times New Roman" w:hAnsi="Times New Roman" w:cs="Times New Roman"/>
          <w:noProof/>
          <w:color w:val="FF0000"/>
          <w:u w:val="single"/>
        </w:rPr>
        <w:t>Иванович</w:t>
      </w:r>
    </w:p>
    <w:p w:rsidR="002A466A" w:rsidRPr="002A466A" w:rsidRDefault="009B3B90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</w:t>
      </w:r>
      <w:r w:rsidR="00106893" w:rsidRPr="002A466A">
        <w:rPr>
          <w:rFonts w:ascii="Times New Roman" w:hAnsi="Times New Roman" w:cs="Times New Roman"/>
          <w:i/>
        </w:rPr>
        <w:t>(фамилия,</w:t>
      </w: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>имя,</w:t>
      </w: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>отчество)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9B3B90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E41619" w:rsidRDefault="00E41619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>восибирск</w:t>
      </w:r>
      <w:r w:rsidR="009B3B90">
        <w:rPr>
          <w:rFonts w:ascii="Times New Roman" w:hAnsi="Times New Roman" w:cs="Times New Roman"/>
          <w:sz w:val="28"/>
          <w:szCs w:val="28"/>
        </w:rPr>
        <w:t xml:space="preserve"> </w:t>
      </w:r>
      <w:r w:rsidR="00E41619">
        <w:rPr>
          <w:rFonts w:ascii="Times New Roman" w:hAnsi="Times New Roman" w:cs="Times New Roman"/>
          <w:noProof/>
          <w:color w:val="auto"/>
          <w:sz w:val="28"/>
          <w:szCs w:val="28"/>
        </w:rPr>
        <w:t>2025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bookmarkStart w:id="0" w:name="_GoBack" w:displacedByCustomXml="next"/>
    <w:bookmarkEnd w:id="0" w:displacedByCustomXml="next"/>
    <w:sdt>
      <w:sdtPr>
        <w:rPr>
          <w:rFonts w:ascii="Arial Unicode MS" w:eastAsia="Arial Unicode MS" w:hAnsi="Arial Unicode MS" w:cs="Arial Unicode MS"/>
          <w:b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5C7D3E" w:rsidRPr="00776F52" w:rsidRDefault="003F6FC3" w:rsidP="000D359D">
          <w:pPr>
            <w:pStyle w:val="ae"/>
            <w:rPr>
              <w:b/>
            </w:rPr>
          </w:pPr>
          <w:r w:rsidRPr="00776F52">
            <w:t>ОГЛАВЛЕНИЕ</w:t>
          </w:r>
        </w:p>
        <w:p w:rsidR="000D359D" w:rsidRDefault="005C7D3E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 w:rsidRPr="009B3B90">
            <w:rPr>
              <w:b/>
              <w:bCs/>
              <w:szCs w:val="28"/>
            </w:rPr>
            <w:fldChar w:fldCharType="begin"/>
          </w:r>
          <w:r w:rsidRPr="009B3B90">
            <w:rPr>
              <w:b/>
              <w:bCs/>
              <w:szCs w:val="28"/>
            </w:rPr>
            <w:instrText xml:space="preserve"> TOC \o "1-3" \h \z \u </w:instrText>
          </w:r>
          <w:r w:rsidRPr="009B3B90">
            <w:rPr>
              <w:b/>
              <w:bCs/>
              <w:szCs w:val="28"/>
            </w:rPr>
            <w:fldChar w:fldCharType="separate"/>
          </w:r>
          <w:hyperlink w:anchor="_Toc119588206" w:history="1">
            <w:r w:rsidR="000D359D" w:rsidRPr="00CC66A5">
              <w:rPr>
                <w:rStyle w:val="a7"/>
                <w:noProof/>
              </w:rPr>
              <w:t>ВВЕДЕНИЕ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_Toc119588206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4F5F5A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7" w:history="1">
            <w:r w:rsidR="000D359D" w:rsidRPr="00CC66A5">
              <w:rPr>
                <w:rStyle w:val="a7"/>
                <w:noProof/>
              </w:rPr>
              <w:t>ГЛАВА 1. КРАТКАЯ ХАРАКТЕРИСТИКА ЗЕМЛЕУСТРОИТЕЛЬНОЙ ФИРМЫ ООО «ЗЕМЛЯ-СЕРВИС»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_Toc119588207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5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4F5F5A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8" w:history="1">
            <w:r w:rsidR="000D359D" w:rsidRPr="00CC66A5">
              <w:rPr>
                <w:rStyle w:val="a7"/>
                <w:noProof/>
              </w:rPr>
              <w:t>ГЛАВА 2. ГЕОДЕЗИЧЕСКИЕ ПРИБОРЫ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_Toc119588208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4F5F5A" w:rsidP="000D359D">
          <w:pPr>
            <w:pStyle w:val="21"/>
            <w:tabs>
              <w:tab w:val="right" w:leader="dot" w:pos="93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09" w:history="1">
            <w:r w:rsidR="000D359D" w:rsidRPr="00CC66A5">
              <w:rPr>
                <w:rStyle w:val="a7"/>
                <w:noProof/>
              </w:rPr>
              <w:t>ГЛАВА 3. ОПИСАНИЕ ИСПОЛЬЗУЕМЫХ ИНФОРМАЦИОННЫХ ПОДСИСТЕМ И ИНФОРМАЦИОННЫХ ТЕХНОЛОГИЙ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_Toc119588209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19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4F5F5A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0" w:history="1">
            <w:r w:rsidR="000D359D" w:rsidRPr="00CC66A5">
              <w:rPr>
                <w:rStyle w:val="a7"/>
                <w:noProof/>
              </w:rPr>
              <w:t>ЗАКЛЮЧЕНИЕ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_Toc119588210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22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4F5F5A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1" w:history="1">
            <w:r w:rsidR="000D359D" w:rsidRPr="00CC66A5">
              <w:rPr>
                <w:rStyle w:val="a7"/>
                <w:noProof/>
              </w:rPr>
              <w:t>СПИСОК ЛИТЕРАТУРЫ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_Toc119588211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23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0D359D" w:rsidRDefault="004F5F5A" w:rsidP="000D359D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19588212" w:history="1">
            <w:r w:rsidR="000D359D" w:rsidRPr="00CC66A5">
              <w:rPr>
                <w:rStyle w:val="a7"/>
                <w:noProof/>
              </w:rPr>
              <w:t>ПРИЛОЖЕНИЕ А</w:t>
            </w:r>
            <w:r w:rsidR="000D359D">
              <w:rPr>
                <w:noProof/>
                <w:webHidden/>
              </w:rPr>
              <w:tab/>
            </w:r>
            <w:r w:rsidR="000D359D">
              <w:rPr>
                <w:noProof/>
                <w:webHidden/>
              </w:rPr>
              <w:fldChar w:fldCharType="begin"/>
            </w:r>
            <w:r w:rsidR="000D359D">
              <w:rPr>
                <w:noProof/>
                <w:webHidden/>
              </w:rPr>
              <w:instrText xml:space="preserve"> PAGEREF _Toc119588212 \h </w:instrText>
            </w:r>
            <w:r w:rsidR="000D359D">
              <w:rPr>
                <w:noProof/>
                <w:webHidden/>
              </w:rPr>
            </w:r>
            <w:r w:rsidR="000D359D">
              <w:rPr>
                <w:noProof/>
                <w:webHidden/>
              </w:rPr>
              <w:fldChar w:fldCharType="separate"/>
            </w:r>
            <w:r w:rsidR="000D359D">
              <w:rPr>
                <w:noProof/>
                <w:webHidden/>
              </w:rPr>
              <w:t>24</w:t>
            </w:r>
            <w:r w:rsidR="000D359D">
              <w:rPr>
                <w:noProof/>
                <w:webHidden/>
              </w:rPr>
              <w:fldChar w:fldCharType="end"/>
            </w:r>
          </w:hyperlink>
        </w:p>
        <w:p w:rsidR="005C7D3E" w:rsidRDefault="005C7D3E" w:rsidP="000D359D">
          <w:pPr>
            <w:spacing w:line="360" w:lineRule="auto"/>
            <w:jc w:val="both"/>
          </w:pPr>
          <w:r w:rsidRPr="009B3B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45CF0" w:rsidRDefault="00A45CF0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3431" w:rsidRDefault="007F3431" w:rsidP="007C687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4912" w:rsidRDefault="004A4912" w:rsidP="005D3B3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B38" w:rsidRDefault="005D3B38" w:rsidP="005D3B38">
      <w:pPr>
        <w:rPr>
          <w:rFonts w:ascii="Times New Roman" w:hAnsi="Times New Roman" w:cs="Times New Roman"/>
          <w:sz w:val="28"/>
          <w:szCs w:val="28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9B3B90" w:rsidSect="000D359D">
          <w:footerReference w:type="default" r:id="rId12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4A4912" w:rsidRPr="000D359D" w:rsidRDefault="004A4912" w:rsidP="000D359D">
      <w:pPr>
        <w:pStyle w:val="1"/>
      </w:pPr>
      <w:bookmarkStart w:id="1" w:name="_Toc119588206"/>
      <w:r w:rsidRPr="000D359D">
        <w:lastRenderedPageBreak/>
        <w:t>ВВЕДЕНИЕ</w:t>
      </w:r>
      <w:bookmarkEnd w:id="1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Олег,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ограниченной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группа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компаний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«ЗемГеоКад»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протяжении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неде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22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19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августа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9311B">
        <w:rPr>
          <w:rFonts w:ascii="Times New Roman" w:eastAsia="Times New Roman" w:hAnsi="Times New Roman" w:cs="Times New Roman"/>
          <w:sz w:val="28"/>
          <w:szCs w:val="28"/>
          <w:lang w:bidi="ar-SA"/>
        </w:rPr>
        <w:t>2023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года.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Руководителем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генеральный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директор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96DA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Сергеевич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углубление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Преддипломная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пишется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непосредственно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написанием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будущего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дипломного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вузе,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творческого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Познакомиться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историей,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структурой,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литературу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Охарактеризовать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раскрыть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предприятии,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оценку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проблем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обобщить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заключалось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0D359D" w:rsidRDefault="004A4912" w:rsidP="000D359D">
      <w:pPr>
        <w:pStyle w:val="2"/>
      </w:pPr>
      <w:bookmarkStart w:id="2" w:name="_Toc119588207"/>
      <w:r w:rsidRPr="000D359D">
        <w:lastRenderedPageBreak/>
        <w:t>ГЛАВА</w:t>
      </w:r>
      <w:r w:rsidR="009B3B90" w:rsidRPr="000D359D">
        <w:t xml:space="preserve"> </w:t>
      </w:r>
      <w:r w:rsidRPr="000D359D">
        <w:t>1.</w:t>
      </w:r>
      <w:r w:rsidR="009B3B90" w:rsidRPr="000D359D">
        <w:t xml:space="preserve"> </w:t>
      </w:r>
      <w:r w:rsidRPr="000D359D">
        <w:t>КРАТКАЯ</w:t>
      </w:r>
      <w:r w:rsidR="009B3B90" w:rsidRPr="000D359D">
        <w:t xml:space="preserve"> </w:t>
      </w:r>
      <w:r w:rsidRPr="000D359D">
        <w:t>ХАРАКТЕРИСТИКА</w:t>
      </w:r>
      <w:r w:rsidR="009B3B90" w:rsidRPr="000D359D">
        <w:t xml:space="preserve"> </w:t>
      </w:r>
      <w:r w:rsidRPr="000D359D">
        <w:t>ЗЕМЛЕУСТРОИТЕЛЬНОЙ</w:t>
      </w:r>
      <w:r w:rsidR="009B3B90" w:rsidRPr="000D359D">
        <w:t xml:space="preserve"> </w:t>
      </w:r>
      <w:r w:rsidRPr="000D359D">
        <w:t>ФИРМЫ</w:t>
      </w:r>
      <w:r w:rsidR="009B3B90" w:rsidRPr="000D359D">
        <w:t xml:space="preserve"> </w:t>
      </w:r>
      <w:r w:rsidRPr="000D359D">
        <w:t>ООО</w:t>
      </w:r>
      <w:r w:rsidR="009B3B90" w:rsidRPr="000D359D">
        <w:t xml:space="preserve"> </w:t>
      </w:r>
      <w:r w:rsidRPr="000D359D">
        <w:t>«ЗЕМЛЯ-СЕРВИС»</w:t>
      </w:r>
      <w:bookmarkEnd w:id="2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«ЗемГеоКад»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операций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недвижимостью.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«ЗемГеоКад»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агентством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«ЗемГеоКад»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членом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«ЗемГеоКад»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«ЗемГеоКад»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новейшими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выпускаемые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ведущими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(Sokkia,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лицензионными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(МapInfo,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Bazis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административных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высшем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работ: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Наиболее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расскажу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(восстановление),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произвести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выглядит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так: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(заказ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смежников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ГЗК,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рекогносцировка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пунктов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(реперов)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чьи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затронуты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Клиентом);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план);</w:t>
      </w:r>
    </w:p>
    <w:p w:rsidR="004A4912" w:rsidRPr="009B3B90" w:rsidRDefault="004A4912" w:rsidP="009B3B90">
      <w:pPr>
        <w:widowControl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сдача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выдаче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рамках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застройке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инструкцией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нормативно-техническими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проектно-изыскательные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получившие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заданием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опираться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наследование,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д.р.)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неосуществимы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строгости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сопровождаться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(купля-продажа,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дарение,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аренда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(подготавливается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дальнейшей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уточнение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(увеличение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уменьшение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др.);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(устанавливаются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отсутствии);</w:t>
      </w:r>
    </w:p>
    <w:p w:rsidR="004A4912" w:rsidRPr="009B3B90" w:rsidRDefault="004A4912" w:rsidP="009B3B90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разрешение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суда).</w:t>
      </w:r>
    </w:p>
    <w:p w:rsidR="004A4912" w:rsidRPr="009B3B90" w:rsidRDefault="004A4912" w:rsidP="009B3B90">
      <w:pPr>
        <w:widowControl/>
        <w:tabs>
          <w:tab w:val="num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помнить,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что: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квалифицированные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специалисты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поддержке.</w:t>
      </w:r>
    </w:p>
    <w:p w:rsidR="004A4912" w:rsidRPr="009B3B90" w:rsidRDefault="004A4912" w:rsidP="009B3B90">
      <w:pPr>
        <w:widowControl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конкретный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нуждается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говоря,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уникален.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ноября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отсутствует,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перестроен.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усмотрению.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приватизировать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план-схему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реестр.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подразумевает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воспроизведены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номер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(Федеральный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июля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2007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N221-ФЗ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недвижимости").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вновь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построенные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коммерческие,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(квартиры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многоквартирном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боксы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ГСК,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нежилые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находящиеся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д.);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продажи);</w:t>
      </w:r>
    </w:p>
    <w:p w:rsidR="004A4912" w:rsidRPr="009B3B90" w:rsidRDefault="004A4912" w:rsidP="009B3B90">
      <w:pPr>
        <w:widowControl/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имеющийся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допущенной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реконструкции,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перепланировки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изготавливает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планов: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сооружение;</w:t>
      </w:r>
    </w:p>
    <w:p w:rsidR="004A4912" w:rsidRPr="009B3B90" w:rsidRDefault="004A4912" w:rsidP="009B3B90">
      <w:pPr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Остальные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(дополнительные)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берет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копии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плану.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(помещения,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собственноручно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Министерства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экономического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декабря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неотъемлемой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состоит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(чертеж)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стоящем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текстовой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нормативными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правовыми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недвижимости: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Сбор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необходимых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Изготовление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Постановка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учет,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следствием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недвижимости.</w:t>
      </w:r>
    </w:p>
    <w:p w:rsidR="004A4912" w:rsidRPr="009B3B90" w:rsidRDefault="004A4912" w:rsidP="009B3B90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Подача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документов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(включающих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паспорт)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орган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(юстиция)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собственности,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результатом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является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получение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свидетельства.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снятия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(разрушение,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готовит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собой</w:t>
      </w:r>
      <w:r w:rsidR="000D359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осмотра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имеющихся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либо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существования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гибелью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уничтожением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помещение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расположено.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выпиской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предыдущие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принадлежность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категории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ориентиры,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показатель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проводившей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частей,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обременениях.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способами: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учтенного.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В1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декларативной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будет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отметку: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«Граница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трактовать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земельно-имущественных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136-ФЗ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кодекс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РФ».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вышеупомянутого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описания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регламентируется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221-ФЗ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отметить,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полноценной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правообладателя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аргументов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Вторым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Несмотря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нормами,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выдается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возникнуть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неоднократно.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понадобиться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банк.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случаях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возникновения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споров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поводу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нем.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решаются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вопросы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наложений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соседнего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замеры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специального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всех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свидетельств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правоустанавливающих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землю.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окончании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судебной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«Экспертное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заключение».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суда,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внесудебном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землепользователями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организациями,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Лицензии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экспертиза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(здания,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дома,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дачи,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коттеджа,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гаража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норм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землеустройства,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градостроительства.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5D3B38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D3B38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3" w:name="_Toc119588208"/>
      <w:r w:rsidRPr="009B3B90">
        <w:lastRenderedPageBreak/>
        <w:t>ГЛАВА</w:t>
      </w:r>
      <w:r w:rsidR="009B3B90">
        <w:t xml:space="preserve"> </w:t>
      </w:r>
      <w:r w:rsidRPr="009B3B90">
        <w:t>2.</w:t>
      </w:r>
      <w:r w:rsidR="009B3B90">
        <w:t xml:space="preserve"> </w:t>
      </w:r>
      <w:r w:rsidRPr="009B3B90">
        <w:t>ГЕОДЕЗИЧЕСКИЕ</w:t>
      </w:r>
      <w:r w:rsidR="009B3B90">
        <w:t xml:space="preserve"> </w:t>
      </w:r>
      <w:r w:rsidRPr="009B3B90">
        <w:t>ПРИБОРЫ</w:t>
      </w:r>
      <w:bookmarkEnd w:id="3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Общие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понятия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об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тахеометрах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горизонтальных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вертикальных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углов.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испускаемого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(фазовый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моделях)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обратно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(импульсный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метод).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температуры,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давления,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влажности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Диапазон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напрямую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зависит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светлую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гладкую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(штукатурка,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кафельная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плитка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пр.)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поверхность.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линейных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(призмой)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ещё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дальше);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километра.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могут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практически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поверхности,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однако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осторожностью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сквозь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ветки,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листья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подобные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преграды,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неизвестно,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отразится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соответственно,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измерит.</w:t>
      </w:r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Виды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электронных</w:t>
      </w:r>
      <w:r w:rsidR="009B3B90"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sz w:val="28"/>
          <w:szCs w:val="28"/>
          <w:lang w:eastAsia="en-US" w:bidi="ar-SA"/>
        </w:rPr>
        <w:t>тахеометров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подразделяются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группы: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инженерные,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роботизированные.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популярных.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причиной,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съёмке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проектных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дисплей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выводится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изображение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наблюдаемого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снимки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вместе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оператору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проконтролировать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избежать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ошибок.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Преимуществом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роботизированных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факт,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один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геодезист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дистанционно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например,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топографическую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разбивочные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минимум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человека.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безотражательного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дальномера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SET230R,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SET330R,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SET530R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SET630R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узкий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видимый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лазерный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луч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малым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диаметром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поэтому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листву,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деревья,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проще,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трубы.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Каждая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модель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опасно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невозможно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отражатель.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призмы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500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**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(3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+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ppm)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Вашим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отражающих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марок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-поворотные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марки,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двойные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визирные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скрытых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другое.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Переключение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между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режимами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отражателя"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"призма"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"пленка"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производятся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LI-Ni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около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ввода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инфрокрасную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SF14,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37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клавиш.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клавиатуры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присвоить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значение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любой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Предусмотрено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нажатием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000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считывателя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SCRC2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Compact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Flash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30R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улучшенными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светопропускания,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позволяющую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минимизировать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потери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интенсивности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новому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тонко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настраиваемому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оптическому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фильтру,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типов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сигналов,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несущих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измерительную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раньше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сделать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сложно.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Сплав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цифровых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беспрецедентным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расстояний.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Sokkia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рынке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себе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оптики,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материаловедения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оборудовании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Современные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изыскательские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современных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передовых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этапах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привязки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разбивки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теодолитных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тахеометрических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ходов,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рекордно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сжатые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сроки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только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собирать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одновременно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реальном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времени.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достаточно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спектре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областей.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Традиционно,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Leica,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Trimble,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Epoch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оборудование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навигационной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расчета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точностью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метров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нескольких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миллиметров.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альтернативой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американским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приёмникам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позиционирования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параметров,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кроме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динамикой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Javad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интегрированный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скоростных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высокоточных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ГЛОНАСС/GPS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антенной.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прибор,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объединяющий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40каканальный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(опционально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40тиканальный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GPS+ГЛОНАСС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L1/L2)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коммуникационных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(двухдиапазонный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сотовый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GSM;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широкополосный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трансивер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915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МГц;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радиомодем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УВЧ).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Все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комплектующие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смонтированы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компактный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прочный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металлический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корпус,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габариты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159x162x115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снабжённый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Li-Ion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аккумулятором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ёмкости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встроенным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зарядным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напряжением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В.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внутреннюю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память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записи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1024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MinPad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(два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трёхцветных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светодиода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многофункциональные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кнопки),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приёмник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четырёх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последовательных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(RS232)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порта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контроллером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компьютером,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USB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беспроводный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Bluetooth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интерфейсы.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Maxor-GGD,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требуя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никаких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внешних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устройств,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когда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соединительные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кабели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множество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блоков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мешают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производительности.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GPS/ГЛОНАСС-приемники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спутниковые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двухчастотные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Махог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GGD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измерений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координат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опорных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съемочных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сетях,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производстве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геофизических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геодинамических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исследованиях,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деформометрии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видах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абсолютных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относительных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9B3B90" w:rsidP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2"/>
      </w:pPr>
      <w:bookmarkStart w:id="4" w:name="_Toc119588209"/>
      <w:r w:rsidRPr="009B3B90">
        <w:lastRenderedPageBreak/>
        <w:t>ГЛАВА</w:t>
      </w:r>
      <w:r w:rsidR="009B3B90">
        <w:t xml:space="preserve"> </w:t>
      </w:r>
      <w:r w:rsidRPr="009B3B90">
        <w:t>3.</w:t>
      </w:r>
      <w:r w:rsidR="009B3B90">
        <w:t xml:space="preserve"> </w:t>
      </w:r>
      <w:r w:rsidRPr="009B3B90">
        <w:t>ОПИСАНИЕ</w:t>
      </w:r>
      <w:r w:rsidR="009B3B90">
        <w:t xml:space="preserve"> </w:t>
      </w:r>
      <w:r w:rsidRPr="009B3B90">
        <w:t>ИСПОЛЬЗУЕМЫХ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ПОДСИСТЕМ</w:t>
      </w:r>
      <w:r w:rsidR="009B3B90">
        <w:t xml:space="preserve"> </w:t>
      </w:r>
      <w:r w:rsidRPr="009B3B90">
        <w:t>И</w:t>
      </w:r>
      <w:r w:rsidR="009B3B90">
        <w:t xml:space="preserve"> </w:t>
      </w:r>
      <w:r w:rsidRPr="009B3B90">
        <w:t>ИНФОРМАЦИОННЫХ</w:t>
      </w:r>
      <w:r w:rsidR="009B3B90">
        <w:t xml:space="preserve"> </w:t>
      </w:r>
      <w:r w:rsidRPr="009B3B90">
        <w:t>ТЕХНОЛОГИЙ</w:t>
      </w:r>
      <w:bookmarkEnd w:id="4"/>
    </w:p>
    <w:p w:rsidR="004A4912" w:rsidRPr="009B3B90" w:rsidRDefault="004A4912" w:rsidP="009B3B90">
      <w:pPr>
        <w:keepNext/>
        <w:keepLines/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</w:pP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ГИС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MapInfo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Professional</w:t>
      </w:r>
      <w:r w:rsidR="009B3B90"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 w:bidi="ar-SA"/>
        </w:rPr>
        <w:t>7.5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конце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80-х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Mapping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Information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Systems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Corporation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(США).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«ЭСТИ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МАП»,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партнер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Corp,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распространяет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СНГ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версию.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—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полнофункциональная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инструментальная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помощью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можно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хранить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информацию,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связанную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объектами.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точки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зрения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общепринятой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терминологии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дополнение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позволяет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обрабатывать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картографические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хранящиеся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базе,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выступать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«картографического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клиента»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известными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СУБД,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Informix,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Sybase,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Oracle8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DB2,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поскольку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поддерживает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механизм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через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ODBC,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«напрямую».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работает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платформах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95,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98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Windows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NT</w:t>
      </w:r>
      <w:r w:rsid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4.0.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географическая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(ГИС),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сбора,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хранения,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отображения,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редактирования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Сейчас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130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странах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мира,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переведена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языков,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включая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десятках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тысяч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организаций.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благодаря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простоте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освоения,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богатым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функциональным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возможностям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разумной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стоимости,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самой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массовой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геоинформационной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системой.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высокоэффективное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средство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визуализации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Сферы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бизнес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наука,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социологические,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демографические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промышленность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экология,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нефтегазовая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индустрия,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землепользование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службы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коммунального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быстрого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реагирования,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армия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правопорядка,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многие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другие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отрасли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хозяйства.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надстроек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MapInfo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Professional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Эта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служит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изготовления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№412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24.11.2008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Минэкономразвития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"Об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подготовке,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примерной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собрания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местоположения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участков".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всех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работ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межевания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протокола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образования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перераспределение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знаков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MIF/MID,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сдачи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выписов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кадастровых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территории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использования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МИ-Сервис: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продукт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предназначен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для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зданий,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сооружений,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незавершенного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строительства,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помешений.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возможности: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сооружений.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объектов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незавершенного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строительства.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Создание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помещений.</w:t>
      </w:r>
    </w:p>
    <w:p w:rsidR="004A4912" w:rsidRPr="009B3B90" w:rsidRDefault="004A4912" w:rsidP="009B3B90">
      <w:pPr>
        <w:widowControl/>
        <w:numPr>
          <w:ilvl w:val="0"/>
          <w:numId w:val="9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Экспорт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формат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XML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отвечающий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требованиям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Росреестра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cдаче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технических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планов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электронном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виде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Надстройка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Ми-Сервис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удобна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применении.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тоже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имеет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свои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минусы,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одними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являются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нюансы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XML-файлов.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5" w:name="_Toc119588210"/>
      <w:r w:rsidRPr="009B3B90">
        <w:lastRenderedPageBreak/>
        <w:t>ЗАКЛЮЧЕНИЕ</w:t>
      </w:r>
      <w:bookmarkEnd w:id="5"/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прохождения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землеустроительной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фирме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ООО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Style w:val="af3"/>
          <w:rFonts w:ascii="Times New Roman" w:hAnsi="Times New Roman" w:cs="Times New Roman"/>
          <w:b w:val="0"/>
          <w:sz w:val="28"/>
          <w:szCs w:val="28"/>
        </w:rPr>
        <w:t>«ЗемГеоКад»</w:t>
      </w:r>
      <w:r w:rsidR="009B3B9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аспекта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общения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коллективом,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ряд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применил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теоретические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знания,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получ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енные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изучил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весь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комплекс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стадии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полевых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учет.</w:t>
      </w:r>
    </w:p>
    <w:p w:rsidR="004A4912" w:rsidRPr="009B3B90" w:rsidRDefault="001E037E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проходила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22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19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D5BA2">
        <w:rPr>
          <w:rFonts w:ascii="Times New Roman" w:eastAsia="Times New Roman" w:hAnsi="Times New Roman" w:cs="Times New Roman"/>
          <w:sz w:val="28"/>
          <w:szCs w:val="28"/>
          <w:lang w:bidi="ar-SA"/>
        </w:rPr>
        <w:t>августа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руководством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опытного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инженера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Иванова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Петра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Степановича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трудится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дружный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коллектив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главный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принцип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качественная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A4912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Тема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практики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заключалась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геодезических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земельно-кадастровых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(межевание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участков,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постановка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кадастровый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учет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регистрация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объектов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недвижимости).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спец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иалистами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выезжал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037E"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участвовал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земель,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обработки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(камеральные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работы),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схемы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кадастровом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территории,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составлении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межевого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технического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плана,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обследования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акта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выноса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B3B90">
        <w:rPr>
          <w:rFonts w:ascii="Times New Roman" w:eastAsia="Times New Roman" w:hAnsi="Times New Roman" w:cs="Times New Roman"/>
          <w:sz w:val="28"/>
          <w:szCs w:val="28"/>
          <w:lang w:bidi="ar-SA"/>
        </w:rPr>
        <w:t>натуру.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9B3B90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A4912" w:rsidRPr="009B3B90" w:rsidRDefault="004A4912" w:rsidP="009B3B90">
      <w:pPr>
        <w:widowControl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B3B90" w:rsidRDefault="009B3B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4A4912" w:rsidRPr="009B3B90" w:rsidRDefault="004A4912" w:rsidP="000D359D">
      <w:pPr>
        <w:pStyle w:val="1"/>
      </w:pPr>
      <w:bookmarkStart w:id="6" w:name="_Toc119588211"/>
      <w:r w:rsidRPr="009B3B90">
        <w:lastRenderedPageBreak/>
        <w:t>СПИСОК</w:t>
      </w:r>
      <w:r w:rsidR="009B3B90">
        <w:t xml:space="preserve"> </w:t>
      </w:r>
      <w:r w:rsidRPr="009B3B90">
        <w:t>ЛИТЕРАТУРЫ</w:t>
      </w:r>
      <w:bookmarkEnd w:id="6"/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Закон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государственной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регистрации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прав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недвижимое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имущество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сделок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ним»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22.07.1997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№122-ФЗ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24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2008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412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межевого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подготовке,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примерной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извещения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проведении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собрания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согласовании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местоположения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границ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земельных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участков"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сентября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403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здания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29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ноября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583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технического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плана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помещения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подготовке»</w:t>
      </w:r>
    </w:p>
    <w:p w:rsid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Приказ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Министерства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экономического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развития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декабря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2010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627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"Об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утверждении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формы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акта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обследования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требований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его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подготовке"</w:t>
      </w:r>
    </w:p>
    <w:p w:rsidR="004A4912" w:rsidRPr="009B3B90" w:rsidRDefault="004A4912" w:rsidP="009B3B90">
      <w:pPr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«Земельный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кодекс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Российской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Федерации»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(ЗК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РФ)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25.10.2001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N</w:t>
      </w:r>
      <w:r w:rsid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B3B9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136-ФЗ</w:t>
      </w:r>
    </w:p>
    <w:p w:rsidR="004A4912" w:rsidRPr="004A4912" w:rsidRDefault="004A4912" w:rsidP="004A4912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9B3B90" w:rsidRDefault="009B3B9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912" w:rsidRPr="007C6879" w:rsidRDefault="009B3B90" w:rsidP="000D359D">
      <w:pPr>
        <w:pStyle w:val="1"/>
      </w:pPr>
      <w:bookmarkStart w:id="7" w:name="_Toc119588212"/>
      <w:r>
        <w:lastRenderedPageBreak/>
        <w:t>ПРИЛОЖЕНИЕ А</w:t>
      </w:r>
      <w:bookmarkEnd w:id="7"/>
    </w:p>
    <w:sectPr w:rsidR="004A4912" w:rsidRPr="007C6879" w:rsidSect="009B3B90">
      <w:footerReference w:type="default" r:id="rId13"/>
      <w:pgSz w:w="11906" w:h="16838"/>
      <w:pgMar w:top="1134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5A" w:rsidRDefault="004F5F5A" w:rsidP="007C6879">
      <w:r>
        <w:separator/>
      </w:r>
    </w:p>
  </w:endnote>
  <w:endnote w:type="continuationSeparator" w:id="0">
    <w:p w:rsidR="004F5F5A" w:rsidRDefault="004F5F5A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2020603050405020304"/>
    <w:charset w:val="00"/>
    <w:family w:val="roman"/>
    <w:notTrueType/>
    <w:pitch w:val="default"/>
  </w:font>
  <w:font w:name="Times-Roman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34" w:rsidRDefault="004453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358171315"/>
      <w:docPartObj>
        <w:docPartGallery w:val="Page Numbers (Bottom of Page)"/>
        <w:docPartUnique/>
      </w:docPartObj>
    </w:sdtPr>
    <w:sdtEndPr/>
    <w:sdtContent>
      <w:p w:rsidR="00445334" w:rsidRPr="009B3B90" w:rsidRDefault="00445334">
        <w:pPr>
          <w:pStyle w:val="a5"/>
          <w:jc w:val="right"/>
          <w:rPr>
            <w:sz w:val="24"/>
          </w:rPr>
        </w:pPr>
        <w:r w:rsidRPr="009B3B90">
          <w:rPr>
            <w:sz w:val="24"/>
          </w:rPr>
          <w:fldChar w:fldCharType="begin"/>
        </w:r>
        <w:r w:rsidRPr="009B3B90">
          <w:rPr>
            <w:sz w:val="24"/>
          </w:rPr>
          <w:instrText>PAGE   \* MERGEFORMAT</w:instrText>
        </w:r>
        <w:r w:rsidRPr="009B3B90">
          <w:rPr>
            <w:sz w:val="24"/>
          </w:rPr>
          <w:fldChar w:fldCharType="separate"/>
        </w:r>
        <w:r w:rsidR="00E41619">
          <w:rPr>
            <w:noProof/>
            <w:sz w:val="24"/>
          </w:rPr>
          <w:t>24</w:t>
        </w:r>
        <w:r w:rsidRPr="009B3B9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5A" w:rsidRDefault="004F5F5A" w:rsidP="007C6879">
      <w:r>
        <w:separator/>
      </w:r>
    </w:p>
  </w:footnote>
  <w:footnote w:type="continuationSeparator" w:id="0">
    <w:p w:rsidR="004F5F5A" w:rsidRDefault="004F5F5A" w:rsidP="007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34" w:rsidRDefault="004F5F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7" o:spid="_x0000_s2058" type="#_x0000_t136" style="position:absolute;margin-left:0;margin-top:0;width:530.25pt;height:134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34" w:rsidRDefault="004F5F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8" o:spid="_x0000_s2059" type="#_x0000_t136" style="position:absolute;margin-left:0;margin-top:0;width:530.25pt;height:134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34" w:rsidRDefault="004F5F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6446" o:spid="_x0000_s2057" type="#_x0000_t136" style="position:absolute;margin-left:0;margin-top:0;width:530.25pt;height:134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20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264"/>
    <w:multiLevelType w:val="multilevel"/>
    <w:tmpl w:val="2EB4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A7C8F"/>
    <w:multiLevelType w:val="multilevel"/>
    <w:tmpl w:val="A9E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662E0"/>
    <w:multiLevelType w:val="multilevel"/>
    <w:tmpl w:val="BFF46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60F74"/>
    <w:multiLevelType w:val="multilevel"/>
    <w:tmpl w:val="159659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16956"/>
    <w:multiLevelType w:val="multilevel"/>
    <w:tmpl w:val="40F44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805952"/>
    <w:multiLevelType w:val="multilevel"/>
    <w:tmpl w:val="EB8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75C22"/>
    <w:multiLevelType w:val="multilevel"/>
    <w:tmpl w:val="0E869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EA3F0B"/>
    <w:multiLevelType w:val="multilevel"/>
    <w:tmpl w:val="B04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355A3"/>
    <w:multiLevelType w:val="multilevel"/>
    <w:tmpl w:val="9E664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E20A60"/>
    <w:multiLevelType w:val="multilevel"/>
    <w:tmpl w:val="80C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2399B"/>
    <w:rsid w:val="000449A3"/>
    <w:rsid w:val="00053D60"/>
    <w:rsid w:val="00065880"/>
    <w:rsid w:val="000707B2"/>
    <w:rsid w:val="00073AB4"/>
    <w:rsid w:val="00073AF6"/>
    <w:rsid w:val="00076B5F"/>
    <w:rsid w:val="000B4C39"/>
    <w:rsid w:val="000D359D"/>
    <w:rsid w:val="000E6518"/>
    <w:rsid w:val="000F4146"/>
    <w:rsid w:val="001006CF"/>
    <w:rsid w:val="00106893"/>
    <w:rsid w:val="0012652D"/>
    <w:rsid w:val="00126C62"/>
    <w:rsid w:val="00133E79"/>
    <w:rsid w:val="00170674"/>
    <w:rsid w:val="001E037E"/>
    <w:rsid w:val="001E612B"/>
    <w:rsid w:val="002175EE"/>
    <w:rsid w:val="00217925"/>
    <w:rsid w:val="00224078"/>
    <w:rsid w:val="002323E8"/>
    <w:rsid w:val="00236716"/>
    <w:rsid w:val="00240390"/>
    <w:rsid w:val="002410D1"/>
    <w:rsid w:val="002655FF"/>
    <w:rsid w:val="0026652B"/>
    <w:rsid w:val="002823F2"/>
    <w:rsid w:val="00296DA2"/>
    <w:rsid w:val="002A3B79"/>
    <w:rsid w:val="002A4445"/>
    <w:rsid w:val="002A466A"/>
    <w:rsid w:val="002B2B53"/>
    <w:rsid w:val="002D0BF8"/>
    <w:rsid w:val="002E304F"/>
    <w:rsid w:val="002F6E45"/>
    <w:rsid w:val="002F77E2"/>
    <w:rsid w:val="00313100"/>
    <w:rsid w:val="00314E69"/>
    <w:rsid w:val="0033302E"/>
    <w:rsid w:val="00340F27"/>
    <w:rsid w:val="00343224"/>
    <w:rsid w:val="00352A64"/>
    <w:rsid w:val="003735FE"/>
    <w:rsid w:val="0038409A"/>
    <w:rsid w:val="003C0CEA"/>
    <w:rsid w:val="003C4D29"/>
    <w:rsid w:val="003D451A"/>
    <w:rsid w:val="003D5BA5"/>
    <w:rsid w:val="003E2A2C"/>
    <w:rsid w:val="003F6FC3"/>
    <w:rsid w:val="00405863"/>
    <w:rsid w:val="00445334"/>
    <w:rsid w:val="00445B6C"/>
    <w:rsid w:val="00447132"/>
    <w:rsid w:val="00462555"/>
    <w:rsid w:val="004649F7"/>
    <w:rsid w:val="00466BB0"/>
    <w:rsid w:val="004801A6"/>
    <w:rsid w:val="004802D0"/>
    <w:rsid w:val="0048520D"/>
    <w:rsid w:val="0049085C"/>
    <w:rsid w:val="004A4912"/>
    <w:rsid w:val="004B2197"/>
    <w:rsid w:val="004B6442"/>
    <w:rsid w:val="004C0089"/>
    <w:rsid w:val="004D6F89"/>
    <w:rsid w:val="004E78DB"/>
    <w:rsid w:val="004F5F5A"/>
    <w:rsid w:val="005003B2"/>
    <w:rsid w:val="005166C6"/>
    <w:rsid w:val="00523B6D"/>
    <w:rsid w:val="0052650B"/>
    <w:rsid w:val="00527245"/>
    <w:rsid w:val="005547F1"/>
    <w:rsid w:val="005722F5"/>
    <w:rsid w:val="005764EB"/>
    <w:rsid w:val="00581D78"/>
    <w:rsid w:val="00594E5B"/>
    <w:rsid w:val="005A2B4E"/>
    <w:rsid w:val="005B6E4D"/>
    <w:rsid w:val="005C29B2"/>
    <w:rsid w:val="005C7D3E"/>
    <w:rsid w:val="005D3B38"/>
    <w:rsid w:val="005E1BEA"/>
    <w:rsid w:val="00632911"/>
    <w:rsid w:val="00632BCF"/>
    <w:rsid w:val="0066405E"/>
    <w:rsid w:val="00672C72"/>
    <w:rsid w:val="00674F3D"/>
    <w:rsid w:val="006854F2"/>
    <w:rsid w:val="006903AA"/>
    <w:rsid w:val="006960A6"/>
    <w:rsid w:val="006A728E"/>
    <w:rsid w:val="006B0A95"/>
    <w:rsid w:val="006C5BDB"/>
    <w:rsid w:val="006D2BB1"/>
    <w:rsid w:val="006D3261"/>
    <w:rsid w:val="006D624C"/>
    <w:rsid w:val="0070721E"/>
    <w:rsid w:val="00717349"/>
    <w:rsid w:val="00721E70"/>
    <w:rsid w:val="00727929"/>
    <w:rsid w:val="00741FEE"/>
    <w:rsid w:val="00762617"/>
    <w:rsid w:val="00776F52"/>
    <w:rsid w:val="00782BC7"/>
    <w:rsid w:val="007C46B3"/>
    <w:rsid w:val="007C6879"/>
    <w:rsid w:val="007E0CD2"/>
    <w:rsid w:val="007F2748"/>
    <w:rsid w:val="007F3431"/>
    <w:rsid w:val="0080769D"/>
    <w:rsid w:val="00820736"/>
    <w:rsid w:val="008225F1"/>
    <w:rsid w:val="00832EB7"/>
    <w:rsid w:val="0083784A"/>
    <w:rsid w:val="00840992"/>
    <w:rsid w:val="008538DE"/>
    <w:rsid w:val="008869DD"/>
    <w:rsid w:val="00890B19"/>
    <w:rsid w:val="008A5FCC"/>
    <w:rsid w:val="008A6930"/>
    <w:rsid w:val="008B3249"/>
    <w:rsid w:val="008B3996"/>
    <w:rsid w:val="008C3D5D"/>
    <w:rsid w:val="008D5DB2"/>
    <w:rsid w:val="008D67C6"/>
    <w:rsid w:val="008D6900"/>
    <w:rsid w:val="00915545"/>
    <w:rsid w:val="00943547"/>
    <w:rsid w:val="00972BE4"/>
    <w:rsid w:val="00974599"/>
    <w:rsid w:val="00977809"/>
    <w:rsid w:val="00994B16"/>
    <w:rsid w:val="009B3B90"/>
    <w:rsid w:val="009C07E6"/>
    <w:rsid w:val="009C572C"/>
    <w:rsid w:val="009D4353"/>
    <w:rsid w:val="009E1141"/>
    <w:rsid w:val="009E58ED"/>
    <w:rsid w:val="00A00336"/>
    <w:rsid w:val="00A03EB7"/>
    <w:rsid w:val="00A05DCB"/>
    <w:rsid w:val="00A23194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60A31"/>
    <w:rsid w:val="00B61111"/>
    <w:rsid w:val="00B83825"/>
    <w:rsid w:val="00B84592"/>
    <w:rsid w:val="00B86FD2"/>
    <w:rsid w:val="00B94118"/>
    <w:rsid w:val="00BB39CD"/>
    <w:rsid w:val="00BD5657"/>
    <w:rsid w:val="00BD5BA2"/>
    <w:rsid w:val="00BE2CC7"/>
    <w:rsid w:val="00BE3873"/>
    <w:rsid w:val="00BF2F09"/>
    <w:rsid w:val="00BF4495"/>
    <w:rsid w:val="00C23215"/>
    <w:rsid w:val="00C23B6D"/>
    <w:rsid w:val="00C30F07"/>
    <w:rsid w:val="00C352DC"/>
    <w:rsid w:val="00C41343"/>
    <w:rsid w:val="00C57B2C"/>
    <w:rsid w:val="00C720FA"/>
    <w:rsid w:val="00C81769"/>
    <w:rsid w:val="00C914AF"/>
    <w:rsid w:val="00C9311B"/>
    <w:rsid w:val="00CA0036"/>
    <w:rsid w:val="00CB4242"/>
    <w:rsid w:val="00CC3F62"/>
    <w:rsid w:val="00CD72A7"/>
    <w:rsid w:val="00CF57E3"/>
    <w:rsid w:val="00D13EFB"/>
    <w:rsid w:val="00D1572F"/>
    <w:rsid w:val="00D20574"/>
    <w:rsid w:val="00D261C0"/>
    <w:rsid w:val="00D33A69"/>
    <w:rsid w:val="00D51616"/>
    <w:rsid w:val="00D55EB5"/>
    <w:rsid w:val="00D96DA1"/>
    <w:rsid w:val="00DA3C98"/>
    <w:rsid w:val="00DA42D1"/>
    <w:rsid w:val="00DB4CA4"/>
    <w:rsid w:val="00DB5754"/>
    <w:rsid w:val="00DC3074"/>
    <w:rsid w:val="00DD0F37"/>
    <w:rsid w:val="00DD3A30"/>
    <w:rsid w:val="00DF2CFA"/>
    <w:rsid w:val="00E0498D"/>
    <w:rsid w:val="00E1227D"/>
    <w:rsid w:val="00E23935"/>
    <w:rsid w:val="00E41619"/>
    <w:rsid w:val="00E7687C"/>
    <w:rsid w:val="00E82024"/>
    <w:rsid w:val="00E910C5"/>
    <w:rsid w:val="00EA026B"/>
    <w:rsid w:val="00EC269F"/>
    <w:rsid w:val="00ED3B4E"/>
    <w:rsid w:val="00ED5311"/>
    <w:rsid w:val="00EE0273"/>
    <w:rsid w:val="00EE45FC"/>
    <w:rsid w:val="00F0370C"/>
    <w:rsid w:val="00F07A6A"/>
    <w:rsid w:val="00F101A4"/>
    <w:rsid w:val="00F248D0"/>
    <w:rsid w:val="00F43B64"/>
    <w:rsid w:val="00F4554F"/>
    <w:rsid w:val="00F46780"/>
    <w:rsid w:val="00F522EA"/>
    <w:rsid w:val="00F536BB"/>
    <w:rsid w:val="00F72982"/>
    <w:rsid w:val="00F7307A"/>
    <w:rsid w:val="00F84BAF"/>
    <w:rsid w:val="00F94738"/>
    <w:rsid w:val="00F94CDF"/>
    <w:rsid w:val="00FE512D"/>
    <w:rsid w:val="00FF4C7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359D"/>
    <w:pPr>
      <w:widowControl/>
      <w:spacing w:after="100" w:afterAutospacing="1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D"/>
    <w:pPr>
      <w:widowControl/>
      <w:tabs>
        <w:tab w:val="left" w:pos="993"/>
      </w:tabs>
      <w:spacing w:after="24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0D359D"/>
    <w:pPr>
      <w:shd w:val="clear" w:color="auto" w:fill="FFFFFF"/>
      <w:tabs>
        <w:tab w:val="right" w:pos="9354"/>
      </w:tabs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59D"/>
    <w:rPr>
      <w:rFonts w:eastAsia="Times New Roman"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spacing w:line="276" w:lineRule="auto"/>
      <w:outlineLvl w:val="9"/>
    </w:p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15">
    <w:name w:val="Сетка таблицы1"/>
    <w:basedOn w:val="a1"/>
    <w:next w:val="ab"/>
    <w:uiPriority w:val="59"/>
    <w:rsid w:val="00023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8D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AEB6-1BB4-4897-A86C-4FBEFD8A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Vasileva</cp:lastModifiedBy>
  <cp:revision>2</cp:revision>
  <cp:lastPrinted>2022-11-10T03:06:00Z</cp:lastPrinted>
  <dcterms:created xsi:type="dcterms:W3CDTF">2025-01-15T05:40:00Z</dcterms:created>
  <dcterms:modified xsi:type="dcterms:W3CDTF">2025-01-15T05:40:00Z</dcterms:modified>
</cp:coreProperties>
</file>